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Название документа</w:t>
      </w:r>
    </w:p>
    <w:p>
      <w:pPr>
        <w:pStyle w:val="0"/>
        <w:jc w:val="both"/>
      </w:pPr>
      <w:r>
        <w:rPr>
          <w:sz w:val="20"/>
        </w:rPr>
        <w:t xml:space="preserve">Вопрос: О сроках действия банковской гарантии и возврата денежных средств, внесенных в качестве обеспечения гарантийных обязательств по контракту.</w:t>
      </w:r>
    </w:p>
    <w:p>
      <w:pPr>
        <w:pStyle w:val="0"/>
        <w:jc w:val="both"/>
      </w:pPr>
      <w:r>
        <w:rPr>
          <w:sz w:val="20"/>
        </w:rPr>
        <w:t xml:space="preserve">(Письмо Минфина России от 19.11.2019 N 24-03-07/89342)</w:t>
      </w:r>
    </w:p>
    <w:p>
      <w:pPr>
        <w:pStyle w:val="0"/>
      </w:pPr>
      <w:r>
        <w:rPr>
          <w:sz w:val="20"/>
          <w:b w:val="on"/>
        </w:rPr>
        <w:t xml:space="preserve">Информация о публикации</w:t>
      </w:r>
    </w:p>
    <w:p>
      <w:pPr>
        <w:pStyle w:val="0"/>
        <w:jc w:val="both"/>
      </w:pPr>
      <w:r>
        <w:rPr>
          <w:sz w:val="20"/>
        </w:rPr>
        <w:t xml:space="preserve">В данном виде документ опубликован не был</w:t>
      </w:r>
    </w:p>
    <w:p>
      <w:pPr>
        <w:pStyle w:val="0"/>
        <w:spacing w:before="200" w:line-rule="auto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  <w:b w:val="on"/>
        </w:rPr>
        <w:t xml:space="preserve">Вопрос:</w:t>
      </w:r>
      <w:r>
        <w:rPr>
          <w:sz w:val="20"/>
        </w:rPr>
        <w:t xml:space="preserve"> О сроках действия банковской гарантии и возврата денежных средств, внесенных в качестве обеспечения гарантийных обязательств по контракту.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  <w:b w:val="on"/>
        </w:rPr>
        <w:t xml:space="preserve">Ответ:</w:t>
      </w:r>
    </w:p>
    <w:p>
      <w:pPr>
        <w:pStyle w:val="2"/>
        <w:spacing w:before="200" w:line-rule="auto"/>
        <w:jc w:val="center"/>
      </w:pPr>
      <w:r>
        <w:rPr>
          <w:sz w:val="20"/>
        </w:rPr>
        <w:t xml:space="preserve">МИНИСТЕРСТВО ФИНАНСОВ РОССИЙСКОЙ ФЕДЕРАЦИИ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ПИСЬМО</w:t>
      </w:r>
    </w:p>
    <w:p>
      <w:pPr>
        <w:pStyle w:val="2"/>
        <w:jc w:val="center"/>
      </w:pPr>
      <w:r>
        <w:rPr>
          <w:sz w:val="20"/>
        </w:rPr>
        <w:t xml:space="preserve">от 19 ноября 2019 г. N 24-03-07/89342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Департамент бюджетной политики в сфере контрактной системы Минфина России (далее - Департамент), рассмотрев обращение по вопросу о применении положений Федерального </w:t>
      </w:r>
      <w:r>
        <w:rPr>
          <w:sz w:val="20"/>
        </w:rPr>
        <w:t xml:space="preserve">закона</w:t>
      </w:r>
      <w:r>
        <w:rPr>
          <w:sz w:val="20"/>
        </w:rPr>
        <w:t xml:space="preserve"> от 5 апреля 2013 г. N 44-ФЗ "О контрактной системе в сфере закупок товаров, работ, услуг для обеспечения государственных и муниципальных нужд" (далее - Закон N 44-ФЗ) в части исполнения гарантийных обязательств, сообщает следующее.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 </w:t>
      </w:r>
      <w:r>
        <w:rPr>
          <w:sz w:val="20"/>
        </w:rPr>
        <w:t xml:space="preserve">пунктом 11.8</w:t>
      </w:r>
      <w:r>
        <w:rPr>
          <w:sz w:val="20"/>
        </w:rPr>
        <w:t xml:space="preserve"> Регламента Министерства финансов Российской Федерации, утвержденного приказом Министерства финансов Российской Федерации от 14 сентября 2018 г. N 194н, Минфином России не осуществляется разъяснение законодательства Российской Федерации, практики его применения, практики применения нормативных правовых актов Минфина России, а также толкование норм, терминов и понятий, за исключением случаев, если на него возложена соответствующая обязанность или если это необходимо для обоснования решения, принятого по обращению.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Также Минфин России не обладает ни надзорными, ни контрольными функциями и (или) полномочиями в отношении осуществляемых закупок, в связи с чем не вправе рассматривать вопрос о правомерности совершенных и (или) совершаемых действий участниками контрактной системы в сфере закупок.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Минфином России в адрес ООО ранее был отправлен ответ </w:t>
      </w:r>
      <w:r>
        <w:rPr>
          <w:sz w:val="20"/>
        </w:rPr>
        <w:t xml:space="preserve">письмом</w:t>
      </w:r>
      <w:r>
        <w:rPr>
          <w:sz w:val="20"/>
        </w:rPr>
        <w:t xml:space="preserve"> от 29 октября 2019 г. N 24-03-07/83015.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Департамент подтверждает ранее высказанную позицию и дополнительно отмечает, что согласно </w:t>
      </w:r>
      <w:r>
        <w:rPr>
          <w:sz w:val="20"/>
        </w:rPr>
        <w:t xml:space="preserve">части 3 статьи 96</w:t>
      </w:r>
      <w:r>
        <w:rPr>
          <w:sz w:val="20"/>
        </w:rPr>
        <w:t xml:space="preserve"> Закона N 44-ФЗ исполнение контракта, гарантийные обязательства могут обеспечиваться предоставлением банковской гарантии, выданной банком и соответствующей требованиям </w:t>
      </w:r>
      <w:r>
        <w:rPr>
          <w:sz w:val="20"/>
        </w:rPr>
        <w:t xml:space="preserve">статьи 45</w:t>
      </w:r>
      <w:r>
        <w:rPr>
          <w:sz w:val="20"/>
        </w:rPr>
        <w:t xml:space="preserve"> Закона N 44-ФЗ, или внесением денежных средств на указанный заказчиком счет, на котором в соответствии с законодательством Российской Федерации учитываются операции со средствами, поступающими заказчику. Способ обеспечения исполнения контракта, гарантийных обязательств, срок действия банковской гарантии определяются в соответствии с требованиями настоящего Федерального закона участником закупки, с которым заключается контракт, самостоятельно. При этом срок действия банковской гарантии должен превышать предусмотренный контрактом срок исполнения обязательств, которые должны быть обеспечены такой банковской гарантией, не менее чем на один месяц, в том числе в случае его изменения в соответствии со </w:t>
      </w:r>
      <w:r>
        <w:rPr>
          <w:sz w:val="20"/>
        </w:rPr>
        <w:t xml:space="preserve">статьей 95</w:t>
      </w:r>
      <w:r>
        <w:rPr>
          <w:sz w:val="20"/>
        </w:rPr>
        <w:t xml:space="preserve"> Закона N 44-ФЗ.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Таким образом, с учетом того что </w:t>
      </w:r>
      <w:r>
        <w:rPr>
          <w:sz w:val="20"/>
        </w:rPr>
        <w:t xml:space="preserve">Законом</w:t>
      </w:r>
      <w:r>
        <w:rPr>
          <w:sz w:val="20"/>
        </w:rPr>
        <w:t xml:space="preserve"> N 44-ФЗ не установлено иных требований к сроку действия банковской гарантии, срок действия банковской гарантии, предоставленной для обеспечения гарантийных обязательств, должен превышать предусмотренный контрактом срок исполнения гарантийных обязательств не менее чем на один месяц.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части 27 статьи 34</w:t>
      </w:r>
      <w:r>
        <w:rPr>
          <w:sz w:val="20"/>
        </w:rPr>
        <w:t xml:space="preserve"> Закона N 44-ФЗ в контракт включается обязательное условие о сроках возврата заказчиком поставщику (подрядчику, исполнителю) денежных средств, внесенных в качестве обеспечения исполнения контракта (если такая форма обеспечения исполнения контракта применяется поставщиком (подрядчиком, исполнителем)), в том числе части этих денежных средств в случае уменьшения размера обеспечения исполнения контракта в соответствии с </w:t>
      </w:r>
      <w:r>
        <w:rPr>
          <w:sz w:val="20"/>
        </w:rPr>
        <w:t xml:space="preserve">частями 7</w:t>
      </w:r>
      <w:r>
        <w:rPr>
          <w:sz w:val="20"/>
        </w:rPr>
        <w:t xml:space="preserve">, </w:t>
      </w:r>
      <w:r>
        <w:rPr>
          <w:sz w:val="20"/>
        </w:rPr>
        <w:t xml:space="preserve">7.1</w:t>
      </w:r>
      <w:r>
        <w:rPr>
          <w:sz w:val="20"/>
        </w:rPr>
        <w:t xml:space="preserve"> и </w:t>
      </w:r>
      <w:r>
        <w:rPr>
          <w:sz w:val="20"/>
        </w:rPr>
        <w:t xml:space="preserve">7.2 статьи 96</w:t>
      </w:r>
      <w:r>
        <w:rPr>
          <w:sz w:val="20"/>
        </w:rPr>
        <w:t xml:space="preserve"> Закона N 44-ФЗ.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этом срок возврата заказчиком поставщику (подрядчику, исполнителю) таких денежных средств не должен превышать тридцать дней с даты исполнения поставщиком (подрядчиком, исполнителем) обязательств, предусмотренных контрактом, а в случае установления заказчиком ограничения, предусмотренного </w:t>
      </w:r>
      <w:r>
        <w:rPr>
          <w:sz w:val="20"/>
        </w:rPr>
        <w:t xml:space="preserve">частью 3 статьи 30</w:t>
      </w:r>
      <w:r>
        <w:rPr>
          <w:sz w:val="20"/>
        </w:rPr>
        <w:t xml:space="preserve"> Закона N 44-ФЗ, такой срок не должен превышать пятнадцать дней с даты исполнения поставщиком (подрядчиком, исполнителем) обязательств, предусмотренных контрактом.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Таким образом, срок возврата заказчиком поставщику (подрядчику, исполнителю) денежных средств, внесенных в качестве обеспечения гарантийных обязательств (если такая форма обеспечения исполнения контракта применяется поставщиком (подрядчиком, исполнителем)), не должен превышать 30 дней с даты исполнения поставщиком (подрядчиком, исполнителем) гарантийных обязательств, а в случае установления заказчиком ограничения, предусмотренного </w:t>
      </w:r>
      <w:r>
        <w:rPr>
          <w:sz w:val="20"/>
        </w:rPr>
        <w:t xml:space="preserve">частью 3 статьи 30</w:t>
      </w:r>
      <w:r>
        <w:rPr>
          <w:sz w:val="20"/>
        </w:rPr>
        <w:t xml:space="preserve"> Закона N 44-ФЗ, такой срок не должен превышать 15 дней с даты исполнения поставщиком (подрядчиком, исполнителем) гарантийных обязательств, предусмотренных контрактом.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Заместитель директора Департамента</w:t>
      </w:r>
    </w:p>
    <w:p>
      <w:pPr>
        <w:pStyle w:val="0"/>
        <w:jc w:val="right"/>
      </w:pPr>
      <w:r>
        <w:rPr>
          <w:sz w:val="20"/>
        </w:rPr>
        <w:t xml:space="preserve">Д.А.ГОТОВЦЕВ</w:t>
      </w:r>
    </w:p>
    <w:p>
      <w:pPr>
        <w:pStyle w:val="0"/>
      </w:pPr>
      <w:r>
        <w:rPr>
          <w:sz w:val="20"/>
        </w:rPr>
        <w:t xml:space="preserve">19.11.2019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16"/>
        </w:rPr>
      </w:r>
    </w:p>
    <w:sectPr>
      <w:headerReference w:type="default" r:id="rId2"/>
      <w:headerReference w:type="first" r:id="rId2"/>
      <w:footerReference w:type="default" r:id="rId3"/>
      <w:footerReference w:type="first" r:id="rId3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Вопрос: О сроках действия банковской гарантии и возврата денежных средств, внесенных в качестве обеспечения гарантийных 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21.04.2025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footer" Target="footer1.xm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4025.00.02</Application>
  <Company>КонсультантПлюс Версия 4025.00.02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Вопрос: О сроках действия банковской гарантии и возврата денежных средств, внесенных в качестве обеспечения гарантийных обязательств по контракту.
(Письмо Минфина России от 19.11.2019 N 24-03-07/89342)</dc:title>
  <dcterms:created xsi:type="dcterms:W3CDTF">2025-04-21T10:42:07Z</dcterms:created>
</cp:coreProperties>
</file>